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B7ADF" w14:textId="77777777" w:rsidR="00970AC0" w:rsidRPr="00D320F3" w:rsidRDefault="00970AC0" w:rsidP="00970AC0">
      <w:pPr>
        <w:pStyle w:val="Teksttreci20"/>
        <w:tabs>
          <w:tab w:val="left" w:pos="7195"/>
          <w:tab w:val="left" w:leader="dot" w:pos="7555"/>
        </w:tabs>
        <w:spacing w:after="120"/>
        <w:rPr>
          <w:rFonts w:ascii="Arial" w:hAnsi="Arial" w:cs="Arial"/>
          <w:bCs w:val="0"/>
          <w:sz w:val="24"/>
          <w:szCs w:val="24"/>
        </w:rPr>
      </w:pPr>
      <w:r w:rsidRPr="004046C9">
        <w:rPr>
          <w:rFonts w:ascii="Arial" w:hAnsi="Arial" w:cs="Arial"/>
          <w:sz w:val="24"/>
          <w:szCs w:val="24"/>
          <w:shd w:val="clear" w:color="auto" w:fill="FFFFFF"/>
        </w:rPr>
        <w:t xml:space="preserve">ZAŁĄCZNIK NR </w:t>
      </w:r>
      <w:r>
        <w:rPr>
          <w:rFonts w:ascii="Arial" w:hAnsi="Arial" w:cs="Arial"/>
          <w:sz w:val="24"/>
          <w:szCs w:val="24"/>
          <w:shd w:val="clear" w:color="auto" w:fill="FFFFFF"/>
        </w:rPr>
        <w:t>2C</w:t>
      </w:r>
      <w:r w:rsidRPr="004046C9">
        <w:rPr>
          <w:rFonts w:ascii="Arial" w:hAnsi="Arial" w:cs="Arial"/>
          <w:sz w:val="24"/>
          <w:szCs w:val="24"/>
          <w:shd w:val="clear" w:color="auto" w:fill="FFFFFF"/>
        </w:rPr>
        <w:t xml:space="preserve"> - Wymagania wobec pojazdów </w:t>
      </w:r>
      <w:r w:rsidRPr="004046C9">
        <w:rPr>
          <w:rFonts w:ascii="Arial" w:hAnsi="Arial" w:cs="Arial"/>
          <w:bCs w:val="0"/>
          <w:sz w:val="24"/>
          <w:szCs w:val="24"/>
        </w:rPr>
        <w:t>do Umowy o świadczenie usług transportu drogowego</w:t>
      </w:r>
      <w:r>
        <w:rPr>
          <w:b w:val="0"/>
          <w:bCs w:val="0"/>
        </w:rPr>
        <w:tab/>
      </w:r>
    </w:p>
    <w:p w14:paraId="6505725C" w14:textId="77777777" w:rsidR="00970AC0" w:rsidRPr="00AD537B" w:rsidRDefault="00970AC0" w:rsidP="00970AC0">
      <w:pPr>
        <w:pStyle w:val="Teksttreci20"/>
        <w:numPr>
          <w:ilvl w:val="0"/>
          <w:numId w:val="1"/>
        </w:numPr>
        <w:tabs>
          <w:tab w:val="left" w:pos="851"/>
        </w:tabs>
        <w:spacing w:after="140"/>
        <w:ind w:firstLine="420"/>
        <w:rPr>
          <w:rFonts w:ascii="Arial" w:hAnsi="Arial" w:cs="Arial"/>
          <w:sz w:val="24"/>
          <w:szCs w:val="24"/>
        </w:rPr>
      </w:pPr>
      <w:bookmarkStart w:id="0" w:name="bookmark400"/>
      <w:bookmarkEnd w:id="0"/>
      <w:r w:rsidRPr="00AD537B">
        <w:rPr>
          <w:rFonts w:ascii="Arial" w:hAnsi="Arial" w:cs="Arial"/>
          <w:sz w:val="24"/>
          <w:szCs w:val="24"/>
        </w:rPr>
        <w:t>Pojazdy</w:t>
      </w:r>
    </w:p>
    <w:p w14:paraId="1D0119DA" w14:textId="77777777" w:rsidR="00970AC0" w:rsidRDefault="00970AC0" w:rsidP="00970AC0">
      <w:pPr>
        <w:pStyle w:val="Teksttreci0"/>
        <w:numPr>
          <w:ilvl w:val="1"/>
          <w:numId w:val="2"/>
        </w:numPr>
        <w:tabs>
          <w:tab w:val="left" w:pos="1079"/>
        </w:tabs>
        <w:spacing w:after="140" w:line="240" w:lineRule="auto"/>
        <w:jc w:val="both"/>
      </w:pPr>
      <w:r w:rsidRPr="00AD537B">
        <w:t>Przewoźnik zobligowany jest do podstawiania Pojazdów sprawnych technicznie, czystych wewnętrznie i zewnętrznie, o ładowności stosownej do wykonania przedmiotu Umowy.</w:t>
      </w:r>
    </w:p>
    <w:p w14:paraId="40D754E7" w14:textId="7DFFD4CC" w:rsidR="007D7597" w:rsidRPr="00AD537B" w:rsidRDefault="007D7597" w:rsidP="00970AC0">
      <w:pPr>
        <w:pStyle w:val="Teksttreci0"/>
        <w:numPr>
          <w:ilvl w:val="1"/>
          <w:numId w:val="2"/>
        </w:numPr>
        <w:tabs>
          <w:tab w:val="left" w:pos="1079"/>
        </w:tabs>
        <w:spacing w:after="140" w:line="240" w:lineRule="auto"/>
        <w:jc w:val="both"/>
      </w:pPr>
      <w:bookmarkStart w:id="1" w:name="_Hlk209007093"/>
      <w:r w:rsidRPr="007D7597">
        <w:rPr>
          <w:lang w:bidi="pl-PL"/>
        </w:rPr>
        <w:t>Przewoźnik gwarantuje, że cystern</w:t>
      </w:r>
      <w:r w:rsidR="00E17AAB">
        <w:rPr>
          <w:lang w:bidi="pl-PL"/>
        </w:rPr>
        <w:t>y</w:t>
      </w:r>
      <w:r w:rsidRPr="007D7597">
        <w:rPr>
          <w:lang w:bidi="pl-PL"/>
        </w:rPr>
        <w:t xml:space="preserve"> służąc</w:t>
      </w:r>
      <w:r w:rsidR="00E17AAB">
        <w:rPr>
          <w:lang w:bidi="pl-PL"/>
        </w:rPr>
        <w:t>e</w:t>
      </w:r>
      <w:r w:rsidRPr="007D7597">
        <w:rPr>
          <w:lang w:bidi="pl-PL"/>
        </w:rPr>
        <w:t xml:space="preserve"> do wykonywania niniejszej Umowy </w:t>
      </w:r>
      <w:r w:rsidR="00B56D31">
        <w:rPr>
          <w:lang w:bidi="pl-PL"/>
        </w:rPr>
        <w:t xml:space="preserve">przed pierwszym nalewem Produktu z danej partii będą posiadały aktualne świadectwo mycia i </w:t>
      </w:r>
      <w:r w:rsidR="00E17AAB">
        <w:rPr>
          <w:lang w:bidi="pl-PL"/>
        </w:rPr>
        <w:t xml:space="preserve">będą </w:t>
      </w:r>
      <w:r w:rsidRPr="007D7597">
        <w:rPr>
          <w:lang w:bidi="pl-PL"/>
        </w:rPr>
        <w:t>dedykowan</w:t>
      </w:r>
      <w:r w:rsidR="00E17AAB">
        <w:rPr>
          <w:lang w:bidi="pl-PL"/>
        </w:rPr>
        <w:t xml:space="preserve">e </w:t>
      </w:r>
      <w:r w:rsidRPr="007D7597">
        <w:rPr>
          <w:lang w:bidi="pl-PL"/>
        </w:rPr>
        <w:t xml:space="preserve">do przewozu </w:t>
      </w:r>
      <w:r w:rsidR="00E17AAB">
        <w:rPr>
          <w:lang w:bidi="pl-PL"/>
        </w:rPr>
        <w:t xml:space="preserve">całej </w:t>
      </w:r>
      <w:r w:rsidRPr="007D7597">
        <w:rPr>
          <w:lang w:bidi="pl-PL"/>
        </w:rPr>
        <w:t xml:space="preserve">danej partii </w:t>
      </w:r>
      <w:r w:rsidR="00B56D31">
        <w:rPr>
          <w:lang w:bidi="pl-PL"/>
        </w:rPr>
        <w:t>P</w:t>
      </w:r>
      <w:r w:rsidRPr="007D7597">
        <w:rPr>
          <w:lang w:bidi="pl-PL"/>
        </w:rPr>
        <w:t>roduktu.</w:t>
      </w:r>
      <w:r w:rsidR="00E17AAB">
        <w:rPr>
          <w:lang w:bidi="pl-PL"/>
        </w:rPr>
        <w:t xml:space="preserve"> Dopuszcza się plombowanie próżnych cystern bezpośrednio po rozładunku u Odbiorcy.</w:t>
      </w:r>
      <w:bookmarkEnd w:id="1"/>
    </w:p>
    <w:p w14:paraId="4E497F49" w14:textId="77777777" w:rsidR="00970AC0" w:rsidRDefault="00970AC0" w:rsidP="00970AC0">
      <w:pPr>
        <w:pStyle w:val="Teksttreci0"/>
        <w:numPr>
          <w:ilvl w:val="1"/>
          <w:numId w:val="2"/>
        </w:numPr>
        <w:tabs>
          <w:tab w:val="left" w:pos="1079"/>
        </w:tabs>
        <w:spacing w:after="140" w:line="240" w:lineRule="auto"/>
        <w:jc w:val="both"/>
      </w:pPr>
      <w:r>
        <w:t>Pojazdy powinny odpowiadać warunkom zawartym w Umowie ADR (w przypadku przewozu materiałów niebezpiecznych),  Rozporządzeniach i Dyrektywach Unijnych oraz przepisach obowiązujących w kraju, w którym pojazd będzie użytkowany. Pojazdy powinny  być pozbawione usterek i defektów, które mogłyby stanowić zagrożenie dla środowiska naturalnego, prowadzić do uszkodzenia ciała kierowcy lub innych osób mających kontakt z pojazdem.</w:t>
      </w:r>
    </w:p>
    <w:p w14:paraId="74A4EB1C" w14:textId="77777777" w:rsidR="00970AC0" w:rsidRDefault="00970AC0" w:rsidP="00970AC0">
      <w:pPr>
        <w:pStyle w:val="Teksttreci0"/>
        <w:numPr>
          <w:ilvl w:val="1"/>
          <w:numId w:val="2"/>
        </w:numPr>
        <w:tabs>
          <w:tab w:val="left" w:pos="1079"/>
        </w:tabs>
        <w:spacing w:after="140" w:line="240" w:lineRule="auto"/>
        <w:jc w:val="both"/>
      </w:pPr>
      <w:r w:rsidRPr="00AA1F33">
        <w:t>Realizacja Usług przez Zleceniobiorcę powinna się odbywać się środkami transportu spełniającymi określone wymagania, przez co należy rozumieć:</w:t>
      </w:r>
      <w:bookmarkStart w:id="2" w:name="bookmark289"/>
      <w:bookmarkStart w:id="3" w:name="bookmark401"/>
      <w:bookmarkEnd w:id="2"/>
      <w:bookmarkEnd w:id="3"/>
    </w:p>
    <w:p w14:paraId="75DC77F8" w14:textId="77777777" w:rsidR="00970AC0" w:rsidRPr="00B03218" w:rsidRDefault="00970AC0" w:rsidP="00970AC0">
      <w:pPr>
        <w:pStyle w:val="Teksttreci0"/>
        <w:numPr>
          <w:ilvl w:val="2"/>
          <w:numId w:val="2"/>
        </w:numPr>
        <w:tabs>
          <w:tab w:val="left" w:pos="1079"/>
        </w:tabs>
        <w:spacing w:after="140" w:line="240" w:lineRule="auto"/>
        <w:ind w:left="993" w:hanging="567"/>
        <w:jc w:val="both"/>
      </w:pPr>
      <w:r w:rsidRPr="00B03218">
        <w:rPr>
          <w:b/>
        </w:rPr>
        <w:t>Naczepa typu plandeka</w:t>
      </w:r>
      <w:r w:rsidRPr="00B03218">
        <w:t xml:space="preserve"> – standardowa naczepa 13,60 m, zawierająca plandekę/ firanę, dającą możliwość odsłonięcia burty samochodu.  Naczepą typu plandeka realizowany jest transport towaru neutralnego spakowanego na paletach w worki typu bigbag, bądź w worki przeznaczone do przewożenia PC</w:t>
      </w:r>
      <w:r>
        <w:t>W</w:t>
      </w:r>
      <w:r w:rsidRPr="00B03218">
        <w:t xml:space="preserve"> lub granulatów albo na specjalnych paletach przemysłowych dedykowanych pod konkretny wymiar towaru takiego jak płyty z PC</w:t>
      </w:r>
      <w:r>
        <w:t>W</w:t>
      </w:r>
      <w:r w:rsidRPr="00B03218">
        <w:t>. Naczepy typu plandeki powinny być przystosowane do przewożenia ładunków ciężkich – tj. ok. 25 t brutto, jak również umożliwiać załadunek z rampy wózkiem widłowym, którym można operować również na naczepie. W przypadku rozładunku, naczepa powinna być przystosowana do rozładunku od tyłu, bądź z boku naczepy.</w:t>
      </w:r>
      <w:r>
        <w:t xml:space="preserve"> Naczepy chłodnie, izotermy, skrzynie, typu tandem lub inne bez możliwości za- i wyładunku bocznego nie będą obsługiwane przez Zleceniodawcę.</w:t>
      </w:r>
    </w:p>
    <w:p w14:paraId="25F36D64" w14:textId="77777777" w:rsidR="00970AC0" w:rsidRDefault="00970AC0" w:rsidP="00970AC0">
      <w:pPr>
        <w:pStyle w:val="Teksttreci0"/>
        <w:numPr>
          <w:ilvl w:val="2"/>
          <w:numId w:val="2"/>
        </w:numPr>
        <w:tabs>
          <w:tab w:val="left" w:pos="1079"/>
        </w:tabs>
        <w:spacing w:after="140" w:line="240" w:lineRule="auto"/>
        <w:ind w:left="993" w:hanging="567"/>
        <w:jc w:val="both"/>
      </w:pPr>
      <w:r w:rsidRPr="00B060AE">
        <w:rPr>
          <w:b/>
        </w:rPr>
        <w:t>Autocysterna jednokomorowa</w:t>
      </w:r>
      <w:r w:rsidRPr="00AA1F33">
        <w:t xml:space="preserve"> o możliwości załadunku 24 t z własnym kompresorem, odpowiednia do transportu niżej wymienionych towarów</w:t>
      </w:r>
      <w:r>
        <w:t xml:space="preserve"> neutralnych</w:t>
      </w:r>
      <w:r w:rsidRPr="005B1F29">
        <w:t xml:space="preserve"> </w:t>
      </w:r>
      <w:r w:rsidRPr="00C111BA">
        <w:t>w transporcie</w:t>
      </w:r>
      <w:r>
        <w:t>.</w:t>
      </w:r>
    </w:p>
    <w:p w14:paraId="06B85865" w14:textId="77777777" w:rsidR="00970AC0" w:rsidRDefault="00970AC0" w:rsidP="00970AC0">
      <w:pPr>
        <w:pStyle w:val="Teksttreci0"/>
        <w:numPr>
          <w:ilvl w:val="2"/>
          <w:numId w:val="2"/>
        </w:numPr>
        <w:tabs>
          <w:tab w:val="left" w:pos="1079"/>
        </w:tabs>
        <w:spacing w:after="140" w:line="240" w:lineRule="auto"/>
        <w:ind w:left="993" w:hanging="567"/>
        <w:jc w:val="both"/>
      </w:pPr>
      <w:r w:rsidRPr="00B060AE">
        <w:rPr>
          <w:b/>
        </w:rPr>
        <w:t>Autocysterna wielokomorowa</w:t>
      </w:r>
      <w:r w:rsidRPr="00C111BA">
        <w:t xml:space="preserve"> z osobnymi kolektorami spustu. Cysterny z kompresorem wyładowczym. Komory cystern ponumerowane i opi</w:t>
      </w:r>
      <w:r>
        <w:t>sane pojemnością w litrach. Dobo</w:t>
      </w:r>
      <w:r w:rsidRPr="00C111BA">
        <w:t>r</w:t>
      </w:r>
      <w:r>
        <w:t>u</w:t>
      </w:r>
      <w:r w:rsidRPr="00C111BA">
        <w:t xml:space="preserve"> cystern </w:t>
      </w:r>
      <w:r>
        <w:t xml:space="preserve">dokonuje się </w:t>
      </w:r>
      <w:r w:rsidRPr="00C111BA">
        <w:t xml:space="preserve">w zależności od wagi zlecenia, tak aby </w:t>
      </w:r>
      <w:r>
        <w:t xml:space="preserve">całkowita waga </w:t>
      </w:r>
      <w:r w:rsidRPr="00C111BA">
        <w:t>zestaw</w:t>
      </w:r>
      <w:r>
        <w:t>u</w:t>
      </w:r>
      <w:r w:rsidRPr="00C111BA">
        <w:t xml:space="preserve"> po </w:t>
      </w:r>
      <w:r>
        <w:t>załadunku</w:t>
      </w:r>
      <w:r w:rsidRPr="00C111BA">
        <w:t xml:space="preserve"> nie przekraczał</w:t>
      </w:r>
      <w:r>
        <w:t>a</w:t>
      </w:r>
      <w:r w:rsidRPr="00C111BA">
        <w:t xml:space="preserve"> 40 ton</w:t>
      </w:r>
      <w:r>
        <w:t>.</w:t>
      </w:r>
    </w:p>
    <w:p w14:paraId="6923BD9B" w14:textId="77777777" w:rsidR="00970AC0" w:rsidRPr="00B03218" w:rsidRDefault="00970AC0" w:rsidP="00970AC0">
      <w:pPr>
        <w:pStyle w:val="Teksttreci0"/>
        <w:numPr>
          <w:ilvl w:val="1"/>
          <w:numId w:val="2"/>
        </w:numPr>
        <w:tabs>
          <w:tab w:val="left" w:pos="1079"/>
        </w:tabs>
        <w:spacing w:after="140" w:line="240" w:lineRule="auto"/>
        <w:jc w:val="both"/>
      </w:pPr>
      <w:r w:rsidRPr="00B03218">
        <w:t>Preferowana norma emisji zanieczyszczeń ciągnika siodłowego nie niższa niż EURO V.</w:t>
      </w:r>
    </w:p>
    <w:p w14:paraId="1B2DD5E0" w14:textId="77777777" w:rsidR="00970AC0" w:rsidRDefault="00970AC0" w:rsidP="00970AC0">
      <w:pPr>
        <w:pStyle w:val="Teksttreci0"/>
        <w:numPr>
          <w:ilvl w:val="1"/>
          <w:numId w:val="2"/>
        </w:numPr>
        <w:tabs>
          <w:tab w:val="left" w:pos="1079"/>
        </w:tabs>
        <w:spacing w:after="140" w:line="240" w:lineRule="auto"/>
        <w:jc w:val="both"/>
      </w:pPr>
      <w:r w:rsidRPr="00C111BA">
        <w:t xml:space="preserve">Zleceniobiorca zobowiązany jest do przedstawienia przed każdym załadunkiem </w:t>
      </w:r>
      <w:r>
        <w:t xml:space="preserve">naczepy typu cysterna </w:t>
      </w:r>
      <w:r w:rsidRPr="00C111BA">
        <w:t>certyfikatu czystości</w:t>
      </w:r>
      <w:r>
        <w:t>- Europejski Dokument Mycia (ECD)</w:t>
      </w:r>
      <w:r w:rsidRPr="00AA1F33">
        <w:t xml:space="preserve"> </w:t>
      </w:r>
      <w:r>
        <w:t>zgodnie ze standardami Europejskiej Federacji Organizacji Myjni Cystern (EFTCO)</w:t>
      </w:r>
      <w:r w:rsidRPr="00C111BA">
        <w:t>, chyba że w trzech ostatnich transportach przewożony był ten sam towar Zleceniodawcy. Wówczas zleceniodawca może wydać pisemną zgodę na taki załadunek. W takim przypadku ryzyko związane z potencjalnym zanieczyszczeniem produktu zakontraktowanego do przewozu pozostałościami z poprzedniego transportu jest po stronie Przewoźnika.</w:t>
      </w:r>
    </w:p>
    <w:p w14:paraId="4872C1CC" w14:textId="77777777" w:rsidR="00970AC0" w:rsidRDefault="00970AC0" w:rsidP="00970AC0">
      <w:pPr>
        <w:pStyle w:val="Teksttreci0"/>
        <w:numPr>
          <w:ilvl w:val="1"/>
          <w:numId w:val="2"/>
        </w:numPr>
        <w:tabs>
          <w:tab w:val="left" w:pos="1079"/>
        </w:tabs>
        <w:spacing w:after="140" w:line="240" w:lineRule="auto"/>
        <w:jc w:val="both"/>
      </w:pPr>
      <w:r w:rsidRPr="008312AE">
        <w:t xml:space="preserve">Przewoźnik zobowiązany jest do prawidłowego oznakowania Pojazdu (jeżeli wymagają tego przepisy </w:t>
      </w:r>
      <w:r>
        <w:t>związane ze specyfikacją Towaru</w:t>
      </w:r>
      <w:r w:rsidRPr="008312AE">
        <w:t>).</w:t>
      </w:r>
    </w:p>
    <w:p w14:paraId="75819DA0" w14:textId="77777777" w:rsidR="00970AC0" w:rsidRDefault="00970AC0" w:rsidP="00970AC0">
      <w:pPr>
        <w:pStyle w:val="Teksttreci0"/>
        <w:numPr>
          <w:ilvl w:val="1"/>
          <w:numId w:val="2"/>
        </w:numPr>
        <w:tabs>
          <w:tab w:val="left" w:pos="1079"/>
        </w:tabs>
        <w:spacing w:after="140"/>
        <w:jc w:val="both"/>
      </w:pPr>
      <w:r>
        <w:t>Materiały mogące stanowić poważne ryzyko zanieczyszczenia w momencie kontaktu z Produktem, nie mogą znajdować się w/na Pojeździe.</w:t>
      </w:r>
    </w:p>
    <w:p w14:paraId="08890042" w14:textId="77777777" w:rsidR="00970AC0" w:rsidRDefault="00970AC0" w:rsidP="00970AC0">
      <w:pPr>
        <w:pStyle w:val="Teksttreci0"/>
        <w:tabs>
          <w:tab w:val="left" w:pos="1079"/>
        </w:tabs>
        <w:spacing w:after="140" w:line="240" w:lineRule="auto"/>
        <w:jc w:val="both"/>
      </w:pPr>
      <w:r>
        <w:t>Nie powinny one być również ładowane w późniejszym czasie do momentu, kiedy Produkty wciąż znajdują się na/w Pojeździe.</w:t>
      </w:r>
    </w:p>
    <w:p w14:paraId="0ADBA4A5" w14:textId="77777777" w:rsidR="00970AC0" w:rsidRDefault="00970AC0" w:rsidP="00970AC0">
      <w:pPr>
        <w:pStyle w:val="Teksttreci0"/>
        <w:numPr>
          <w:ilvl w:val="1"/>
          <w:numId w:val="2"/>
        </w:numPr>
        <w:tabs>
          <w:tab w:val="left" w:pos="1079"/>
        </w:tabs>
        <w:spacing w:after="140" w:line="240" w:lineRule="auto"/>
        <w:jc w:val="both"/>
      </w:pPr>
      <w:r w:rsidRPr="005A08A7">
        <w:t>Przewoźnik zobowiązany jest do prawidłowego oznakowania Pojazdu i Ładunku (jeżeli wym</w:t>
      </w:r>
      <w:r>
        <w:t>agają tego przepisy  Umowy ADR).</w:t>
      </w:r>
    </w:p>
    <w:p w14:paraId="2747F80E" w14:textId="77777777" w:rsidR="00970AC0" w:rsidRDefault="00970AC0" w:rsidP="00970AC0">
      <w:pPr>
        <w:pStyle w:val="Teksttreci0"/>
        <w:numPr>
          <w:ilvl w:val="1"/>
          <w:numId w:val="2"/>
        </w:numPr>
        <w:tabs>
          <w:tab w:val="left" w:pos="1079"/>
        </w:tabs>
        <w:spacing w:after="140" w:line="240" w:lineRule="auto"/>
        <w:jc w:val="both"/>
      </w:pPr>
      <w:r w:rsidRPr="005A08A7">
        <w:t>Przewoźnik zobowiązany jest do zapoznania się i stosowania się do wytycznych i wymaga</w:t>
      </w:r>
      <w:r>
        <w:t xml:space="preserve">ń wskazanych w Załącznikach Nr 2.C.1 </w:t>
      </w:r>
      <w:r w:rsidRPr="0069483F">
        <w:t>oraz 2.C.2.</w:t>
      </w:r>
    </w:p>
    <w:p w14:paraId="0F03E7B6" w14:textId="77777777" w:rsidR="00970AC0" w:rsidRPr="0082049B" w:rsidRDefault="00970AC0" w:rsidP="00970AC0">
      <w:pPr>
        <w:pStyle w:val="Teksttreci0"/>
        <w:numPr>
          <w:ilvl w:val="1"/>
          <w:numId w:val="2"/>
        </w:numPr>
        <w:tabs>
          <w:tab w:val="left" w:pos="1079"/>
        </w:tabs>
        <w:spacing w:after="140" w:line="240" w:lineRule="auto"/>
        <w:jc w:val="both"/>
      </w:pPr>
      <w:r>
        <w:t>Zleceniodawca</w:t>
      </w:r>
      <w:r w:rsidRPr="0082049B">
        <w:t xml:space="preserve"> rekomenduje wytyczne, zalecenia i dobre praktyki ECTA (European  Chemical Transport Association) w sprawie standaryzacji środków transportowych, sprzętu wyładunkowego, operacji za- i wyładunkowych oraz zachowań kierowców oraz innych uczestników łańcucha dostaw dostępnych na: http://www.ecta.com/Best-Practices- Guidelines.</w:t>
      </w:r>
    </w:p>
    <w:p w14:paraId="23DCF48E" w14:textId="77777777" w:rsidR="00970AC0" w:rsidRPr="00541A70" w:rsidRDefault="00970AC0" w:rsidP="00970AC0">
      <w:pPr>
        <w:rPr>
          <w:rFonts w:ascii="Arial" w:eastAsia="Arial" w:hAnsi="Arial" w:cs="Arial"/>
          <w:sz w:val="19"/>
          <w:szCs w:val="19"/>
        </w:rPr>
      </w:pPr>
    </w:p>
    <w:p w14:paraId="6E9EB157" w14:textId="77777777" w:rsidR="00970AC0" w:rsidRDefault="00970AC0" w:rsidP="00970AC0">
      <w:pPr>
        <w:pStyle w:val="Teksttreci20"/>
        <w:numPr>
          <w:ilvl w:val="0"/>
          <w:numId w:val="1"/>
        </w:numPr>
        <w:tabs>
          <w:tab w:val="left" w:pos="790"/>
        </w:tabs>
        <w:spacing w:after="120"/>
        <w:ind w:firstLine="300"/>
      </w:pPr>
      <w:bookmarkStart w:id="4" w:name="bookmark404"/>
      <w:bookmarkStart w:id="5" w:name="bookmark405"/>
      <w:bookmarkStart w:id="6" w:name="bookmark406"/>
      <w:bookmarkStart w:id="7" w:name="bookmark407"/>
      <w:bookmarkStart w:id="8" w:name="bookmark408"/>
      <w:bookmarkStart w:id="9" w:name="bookmark409"/>
      <w:bookmarkEnd w:id="4"/>
      <w:bookmarkEnd w:id="5"/>
      <w:bookmarkEnd w:id="6"/>
      <w:bookmarkEnd w:id="7"/>
      <w:bookmarkEnd w:id="8"/>
      <w:bookmarkEnd w:id="9"/>
      <w:r>
        <w:t>Minimalna ładowność, pojemność, ilość komór pojazdów</w:t>
      </w:r>
    </w:p>
    <w:p w14:paraId="59065AED" w14:textId="77777777" w:rsidR="00970AC0" w:rsidRDefault="00970AC0" w:rsidP="00970AC0">
      <w:pPr>
        <w:pStyle w:val="Teksttreci0"/>
        <w:numPr>
          <w:ilvl w:val="1"/>
          <w:numId w:val="1"/>
        </w:numPr>
        <w:tabs>
          <w:tab w:val="left" w:pos="935"/>
        </w:tabs>
        <w:spacing w:after="120" w:line="240" w:lineRule="auto"/>
        <w:ind w:firstLine="440"/>
      </w:pPr>
      <w:bookmarkStart w:id="10" w:name="bookmark410"/>
      <w:bookmarkEnd w:id="10"/>
      <w:r>
        <w:t>Ładowność operacyjna.</w:t>
      </w:r>
    </w:p>
    <w:p w14:paraId="63DB2DE8" w14:textId="77777777" w:rsidR="00970AC0" w:rsidRDefault="00970AC0" w:rsidP="00970AC0">
      <w:pPr>
        <w:pStyle w:val="Teksttreci0"/>
        <w:spacing w:after="120" w:line="240" w:lineRule="auto"/>
        <w:ind w:left="420" w:firstLine="14"/>
        <w:jc w:val="both"/>
      </w:pPr>
      <w:r>
        <w:t xml:space="preserve">Ładowność użytkowa jest definiowana, jako masa ładunku (w kg), jaką można przewieść pojazdem lub zespołem pojazdów niezależnie od rodzaju załadowanego produktu, bez przekroczenia prawnych limitów wagowych dla zespołu pojazdów jak również i na każdej pojedynczej osi danego zespołu pojazdów. Ładowność użytkowa pojazdu określana </w:t>
      </w:r>
      <w:r>
        <w:lastRenderedPageBreak/>
        <w:t>jest z uwzględnieniem masy własnej pojazdu / zespołu pojazdów gotowego do drogi w tym z kierowcą i pełnym zbiornikiem paliwa.</w:t>
      </w:r>
    </w:p>
    <w:p w14:paraId="6A7D0820" w14:textId="77777777" w:rsidR="00970AC0" w:rsidRDefault="00970AC0" w:rsidP="00970AC0">
      <w:pPr>
        <w:pStyle w:val="Teksttreci0"/>
        <w:spacing w:after="120" w:line="240" w:lineRule="auto"/>
        <w:ind w:left="420" w:firstLine="14"/>
        <w:jc w:val="both"/>
      </w:pPr>
      <w:r>
        <w:t>Minimalna ładowność użytkowa</w:t>
      </w:r>
      <w:bookmarkStart w:id="11" w:name="bookmark411"/>
      <w:bookmarkEnd w:id="11"/>
      <w:r>
        <w:t xml:space="preserve"> dla zespołów pojazdów ciągnik + naczepa to 25.000 kg (opcjonalnie), o ile nie jest to ograniczone przepisami dotyczącymi maksymalnej dopuszczalnej masy całkowitej pojazdu kraju tranzytowego i/lub docelowego kraju dostawy i o ile Zleceniodawca nie określi inaczej w zleceniu.</w:t>
      </w:r>
    </w:p>
    <w:p w14:paraId="59ADB493" w14:textId="77777777" w:rsidR="00970AC0" w:rsidRDefault="00970AC0" w:rsidP="00970AC0">
      <w:pPr>
        <w:pStyle w:val="Teksttreci0"/>
        <w:spacing w:after="120" w:line="240" w:lineRule="auto"/>
        <w:ind w:left="420" w:firstLine="14"/>
        <w:jc w:val="both"/>
      </w:pPr>
      <w:r>
        <w:t>Zbiorniki przeznaczone do przewozu materiałów ciekłych, które nie są podzielone za pomocą przegród lub falochronów na przestrzenie o maksymalnej pojemności do 7500 litrów, mogą być napełniane nie mniej niż do 80%, albo nie więcej niż do 20% swojej pojemności.</w:t>
      </w:r>
    </w:p>
    <w:p w14:paraId="77F55C64" w14:textId="77777777" w:rsidR="00970AC0" w:rsidRDefault="00970AC0" w:rsidP="00970AC0">
      <w:pPr>
        <w:pStyle w:val="Teksttreci0"/>
        <w:spacing w:after="120" w:line="240" w:lineRule="auto"/>
        <w:ind w:left="420" w:firstLine="14"/>
        <w:jc w:val="both"/>
      </w:pPr>
    </w:p>
    <w:p w14:paraId="1AE6653C" w14:textId="77777777" w:rsidR="00970AC0" w:rsidRDefault="00970AC0" w:rsidP="00970AC0">
      <w:pPr>
        <w:pStyle w:val="Teksttreci20"/>
        <w:numPr>
          <w:ilvl w:val="0"/>
          <w:numId w:val="1"/>
        </w:numPr>
        <w:tabs>
          <w:tab w:val="left" w:pos="490"/>
        </w:tabs>
        <w:spacing w:after="120"/>
      </w:pPr>
      <w:bookmarkStart w:id="12" w:name="bookmark412"/>
      <w:bookmarkStart w:id="13" w:name="bookmark413"/>
      <w:bookmarkStart w:id="14" w:name="bookmark414"/>
      <w:bookmarkStart w:id="15" w:name="bookmark415"/>
      <w:bookmarkStart w:id="16" w:name="bookmark416"/>
      <w:bookmarkStart w:id="17" w:name="bookmark417"/>
      <w:bookmarkStart w:id="18" w:name="bookmark418"/>
      <w:bookmarkStart w:id="19" w:name="bookmark419"/>
      <w:bookmarkStart w:id="20" w:name="bookmark420"/>
      <w:bookmarkStart w:id="21" w:name="bookmark421"/>
      <w:bookmarkStart w:id="22" w:name="bookmark422"/>
      <w:bookmarkStart w:id="23" w:name="bookmark423"/>
      <w:bookmarkStart w:id="24" w:name="bookmark424"/>
      <w:bookmarkStart w:id="25" w:name="bookmark425"/>
      <w:bookmarkStart w:id="26" w:name="bookmark426"/>
      <w:bookmarkStart w:id="27" w:name="bookmark427"/>
      <w:bookmarkStart w:id="28" w:name="bookmark428"/>
      <w:bookmarkStart w:id="29" w:name="bookmark429"/>
      <w:bookmarkStart w:id="30" w:name="bookmark430"/>
      <w:bookmarkStart w:id="31" w:name="bookmark431"/>
      <w:bookmarkStart w:id="32" w:name="bookmark432"/>
      <w:bookmarkStart w:id="33" w:name="bookmark433"/>
      <w:bookmarkStart w:id="34" w:name="bookmark434"/>
      <w:bookmarkStart w:id="35" w:name="bookmark435"/>
      <w:bookmarkStart w:id="36" w:name="bookmark436"/>
      <w:bookmarkStart w:id="37" w:name="bookmark437"/>
      <w:bookmarkStart w:id="38" w:name="bookmark438"/>
      <w:bookmarkStart w:id="39" w:name="bookmark439"/>
      <w:bookmarkStart w:id="40" w:name="bookmark440"/>
      <w:bookmarkStart w:id="41" w:name="bookmark441"/>
      <w:bookmarkStart w:id="42" w:name="bookmark442"/>
      <w:bookmarkStart w:id="43" w:name="bookmark443"/>
      <w:bookmarkStart w:id="44" w:name="bookmark444"/>
      <w:bookmarkStart w:id="45" w:name="bookmark445"/>
      <w:bookmarkStart w:id="46" w:name="bookmark446"/>
      <w:bookmarkStart w:id="47" w:name="bookmark447"/>
      <w:bookmarkStart w:id="48" w:name="bookmark448"/>
      <w:bookmarkStart w:id="49" w:name="bookmark449"/>
      <w:bookmarkStart w:id="50" w:name="bookmark450"/>
      <w:bookmarkStart w:id="51" w:name="bookmark451"/>
      <w:bookmarkStart w:id="52" w:name="bookmark452"/>
      <w:bookmarkStart w:id="53" w:name="bookmark453"/>
      <w:bookmarkStart w:id="54" w:name="bookmark454"/>
      <w:bookmarkStart w:id="55" w:name="bookmark455"/>
      <w:bookmarkStart w:id="56" w:name="bookmark45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Bezpieczeństwo</w:t>
      </w:r>
    </w:p>
    <w:p w14:paraId="13C680D9" w14:textId="77777777" w:rsidR="00970AC0" w:rsidRDefault="00970AC0" w:rsidP="00970AC0">
      <w:pPr>
        <w:pStyle w:val="Teksttreci0"/>
        <w:spacing w:after="120"/>
        <w:ind w:left="420" w:firstLine="14"/>
        <w:jc w:val="both"/>
      </w:pPr>
      <w:r>
        <w:t>3.1. Przewoźnik oświadcza, iż kierowcy przeszli właściwe szkolenie z zakresu samodzielnego przygotowania Pojazdu do załadunku, właściwego zabezpieczania Ładunku zgodnie z wytycznymi oraz instrukcją zabezpieczania Ładunku, a także sprawnego i bezpiecznego zamknięcia i przygotowania Pojazdu do poruszania się po drogach oraz, iż są w pełni wykwalifikowani i upoważnieni do prowadzenia pojazdów ciężarowych.</w:t>
      </w:r>
    </w:p>
    <w:p w14:paraId="4149B456" w14:textId="77777777" w:rsidR="00970AC0" w:rsidRDefault="00970AC0" w:rsidP="00970AC0">
      <w:pPr>
        <w:pStyle w:val="Teksttreci0"/>
        <w:spacing w:after="120"/>
        <w:ind w:left="420" w:firstLine="14"/>
        <w:jc w:val="both"/>
      </w:pPr>
      <w:r>
        <w:t>3.2. Wszystkie Towary muszą być odpowiednio chronione, przymocowane pasami i zabezpieczone zgodnie z wymogami prawnymi i wymaganiami Zleceniodawcy. Kierowcy odmawiający poczynienia takich zabezpieczeń mogą nie uzyskać pozwolenia na wjazd na teren Miejsca Załadunku.</w:t>
      </w:r>
    </w:p>
    <w:p w14:paraId="4398273A" w14:textId="37CFBF79" w:rsidR="00970AC0" w:rsidRDefault="00970AC0" w:rsidP="00970AC0">
      <w:pPr>
        <w:pStyle w:val="Teksttreci0"/>
        <w:spacing w:after="120"/>
        <w:ind w:left="420" w:firstLine="14"/>
        <w:jc w:val="both"/>
      </w:pPr>
      <w:r>
        <w:t>3.3. Przez odpowiedzialność Zlecenioda</w:t>
      </w:r>
      <w:r w:rsidR="007D7597">
        <w:t>w</w:t>
      </w:r>
      <w:r>
        <w:t>cy za czynności ładunkowe rozumie się odpowiedzialność za umieszczenie produktu na naczepie (lub w naczepie w przypadku autosilosów i autocystern), odpowiedzialnością Przewoźnika i jego kierowcy jest zabezpieczenie Towaru na naczepie / w naczepie zgodnie z instrukcjami Zleceniodawcy.</w:t>
      </w:r>
    </w:p>
    <w:p w14:paraId="3F25A9B2" w14:textId="77777777" w:rsidR="00970AC0" w:rsidRDefault="00970AC0" w:rsidP="00970AC0">
      <w:pPr>
        <w:pStyle w:val="Teksttreci0"/>
        <w:spacing w:after="120"/>
        <w:ind w:left="420" w:firstLine="14"/>
        <w:jc w:val="both"/>
      </w:pPr>
      <w:r>
        <w:t>3.5. Celem zabezpieczenia palet z Produktami LDPE, każda naczepa będzie wyposażona w:</w:t>
      </w:r>
    </w:p>
    <w:p w14:paraId="22EBF266" w14:textId="77777777" w:rsidR="00970AC0" w:rsidRDefault="00970AC0" w:rsidP="00970AC0">
      <w:pPr>
        <w:pStyle w:val="Teksttreci0"/>
        <w:numPr>
          <w:ilvl w:val="0"/>
          <w:numId w:val="3"/>
        </w:numPr>
        <w:spacing w:after="120"/>
        <w:jc w:val="both"/>
      </w:pPr>
      <w:r>
        <w:t>komplet belek bocznych (drewnianych lub aluminiowych) do zabezpieczenia ładunku od strony burt (co najmniej 2 belki na wysokości palety + 3 belki do wysokości przewożonego Ładunku)</w:t>
      </w:r>
    </w:p>
    <w:p w14:paraId="50BEF9A3" w14:textId="77777777" w:rsidR="00970AC0" w:rsidRDefault="00970AC0" w:rsidP="00970AC0">
      <w:pPr>
        <w:pStyle w:val="Teksttreci0"/>
        <w:numPr>
          <w:ilvl w:val="0"/>
          <w:numId w:val="3"/>
        </w:numPr>
        <w:spacing w:after="120"/>
        <w:jc w:val="both"/>
      </w:pPr>
      <w:r>
        <w:t>co najmniej 1 belka aluminiowa lub dwie palety do stabilizacji i zabezpieczenia ostatniego rzędu palet</w:t>
      </w:r>
    </w:p>
    <w:p w14:paraId="497BC01A" w14:textId="77777777" w:rsidR="00970AC0" w:rsidRDefault="00970AC0" w:rsidP="00970AC0">
      <w:pPr>
        <w:pStyle w:val="Teksttreci0"/>
        <w:numPr>
          <w:ilvl w:val="0"/>
          <w:numId w:val="3"/>
        </w:numPr>
        <w:spacing w:after="120"/>
        <w:jc w:val="both"/>
      </w:pPr>
      <w:r>
        <w:t>komplet certyfikowanych pasów i napinaczy (przy ustawieniu 10 rzędów palet potrzeba 11-12 pasów, w tym 1 lub 2 do zabezpieczenia Ładunku w części tylnej naczepy)</w:t>
      </w:r>
    </w:p>
    <w:p w14:paraId="2B856FC7" w14:textId="77777777" w:rsidR="00970AC0" w:rsidRDefault="00970AC0" w:rsidP="00970AC0">
      <w:pPr>
        <w:pStyle w:val="Teksttreci0"/>
        <w:numPr>
          <w:ilvl w:val="0"/>
          <w:numId w:val="3"/>
        </w:numPr>
        <w:spacing w:after="120"/>
        <w:jc w:val="both"/>
      </w:pPr>
      <w:r>
        <w:t>widełki do bezpiecznego rozsznurowywania plandek oraz demontażu belek bocznych</w:t>
      </w:r>
    </w:p>
    <w:p w14:paraId="391DDFF6" w14:textId="77777777" w:rsidR="00970AC0" w:rsidRDefault="00970AC0" w:rsidP="00970AC0">
      <w:pPr>
        <w:pStyle w:val="Teksttreci20"/>
        <w:numPr>
          <w:ilvl w:val="0"/>
          <w:numId w:val="1"/>
        </w:numPr>
        <w:tabs>
          <w:tab w:val="left" w:pos="490"/>
        </w:tabs>
        <w:spacing w:after="120"/>
      </w:pPr>
      <w:r>
        <w:t>Załączniki:</w:t>
      </w:r>
    </w:p>
    <w:p w14:paraId="4A25C2D3" w14:textId="77777777" w:rsidR="00970AC0" w:rsidRDefault="00970AC0" w:rsidP="00970AC0">
      <w:pPr>
        <w:pStyle w:val="Teksttreci0"/>
        <w:numPr>
          <w:ilvl w:val="1"/>
          <w:numId w:val="1"/>
        </w:numPr>
        <w:tabs>
          <w:tab w:val="left" w:pos="935"/>
        </w:tabs>
        <w:spacing w:after="120" w:line="240" w:lineRule="auto"/>
        <w:ind w:firstLine="440"/>
      </w:pPr>
      <w:r>
        <w:t>Załącznik nr 2.C.1</w:t>
      </w:r>
      <w:r w:rsidRPr="00B060AE">
        <w:t xml:space="preserve"> – Wymagania dla przewożenia towarów niebezpiecznych</w:t>
      </w:r>
    </w:p>
    <w:p w14:paraId="25AFE60E" w14:textId="77777777" w:rsidR="00970AC0" w:rsidRDefault="00970AC0" w:rsidP="00970AC0">
      <w:pPr>
        <w:pStyle w:val="Teksttreci0"/>
        <w:numPr>
          <w:ilvl w:val="1"/>
          <w:numId w:val="1"/>
        </w:numPr>
        <w:tabs>
          <w:tab w:val="left" w:pos="935"/>
        </w:tabs>
        <w:spacing w:after="120" w:line="240" w:lineRule="auto"/>
        <w:ind w:firstLine="440"/>
      </w:pPr>
      <w:r>
        <w:t>Załącznik nr 2.C.2</w:t>
      </w:r>
      <w:r w:rsidRPr="00B060AE">
        <w:t xml:space="preserve"> – </w:t>
      </w:r>
      <w:r w:rsidRPr="0069483F">
        <w:t>Wytyczne odnośnie bezpiecznego mocowania ładunków w transporcie drogowym</w:t>
      </w:r>
    </w:p>
    <w:p w14:paraId="681972E9" w14:textId="77777777" w:rsidR="00970AC0" w:rsidRDefault="00970AC0" w:rsidP="00970AC0">
      <w:pPr>
        <w:pStyle w:val="Teksttreci0"/>
        <w:tabs>
          <w:tab w:val="left" w:pos="935"/>
        </w:tabs>
        <w:spacing w:after="120" w:line="240" w:lineRule="auto"/>
        <w:ind w:left="440"/>
      </w:pPr>
    </w:p>
    <w:p w14:paraId="335A4DF4" w14:textId="77777777" w:rsidR="00970AC0" w:rsidRDefault="00970AC0" w:rsidP="00970AC0">
      <w:pPr>
        <w:pStyle w:val="Teksttreci20"/>
        <w:tabs>
          <w:tab w:val="left" w:pos="490"/>
        </w:tabs>
        <w:spacing w:after="120"/>
      </w:pPr>
    </w:p>
    <w:p w14:paraId="2A6D6667" w14:textId="77777777" w:rsidR="00970AC0" w:rsidRDefault="00970AC0" w:rsidP="00970AC0">
      <w:pPr>
        <w:pStyle w:val="Teksttreci20"/>
        <w:tabs>
          <w:tab w:val="left" w:pos="490"/>
        </w:tabs>
        <w:spacing w:after="120"/>
      </w:pPr>
    </w:p>
    <w:p w14:paraId="41FE5250" w14:textId="77777777" w:rsidR="00970AC0" w:rsidRDefault="00970AC0" w:rsidP="00970AC0"/>
    <w:p w14:paraId="7B29C9D0" w14:textId="77777777" w:rsidR="002A1964" w:rsidRDefault="002A1964"/>
    <w:sectPr w:rsidR="002A1964" w:rsidSect="00970AC0">
      <w:footerReference w:type="even" r:id="rId7"/>
      <w:footerReference w:type="default" r:id="rId8"/>
      <w:pgSz w:w="11900" w:h="16840"/>
      <w:pgMar w:top="720" w:right="720" w:bottom="1340" w:left="720" w:header="0"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DC53F" w14:textId="77777777" w:rsidR="00D537FA" w:rsidRDefault="00D537FA" w:rsidP="00970AC0">
      <w:r>
        <w:separator/>
      </w:r>
    </w:p>
  </w:endnote>
  <w:endnote w:type="continuationSeparator" w:id="0">
    <w:p w14:paraId="135D2674" w14:textId="77777777" w:rsidR="00D537FA" w:rsidRDefault="00D537FA" w:rsidP="0097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992F" w14:textId="77777777" w:rsidR="00970AC0" w:rsidRDefault="00970AC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9"/>
      <w:gridCol w:w="1724"/>
      <w:gridCol w:w="1724"/>
      <w:gridCol w:w="2337"/>
      <w:gridCol w:w="3256"/>
    </w:tblGrid>
    <w:tr w:rsidR="0091740A" w14:paraId="07F688CA" w14:textId="77777777">
      <w:tc>
        <w:tcPr>
          <w:tcW w:w="0" w:type="auto"/>
          <w:vAlign w:val="center"/>
        </w:tcPr>
        <w:p w14:paraId="63097CE9" w14:textId="77777777" w:rsidR="00970AC0" w:rsidRDefault="00970AC0">
          <w:r>
            <w:rPr>
              <w:sz w:val="16"/>
            </w:rPr>
            <w:t>Rodzaj</w:t>
          </w:r>
        </w:p>
      </w:tc>
      <w:tc>
        <w:tcPr>
          <w:tcW w:w="0" w:type="auto"/>
          <w:vAlign w:val="center"/>
        </w:tcPr>
        <w:p w14:paraId="7E09D281" w14:textId="77777777" w:rsidR="00970AC0" w:rsidRDefault="00970AC0">
          <w:r>
            <w:rPr>
              <w:sz w:val="16"/>
            </w:rPr>
            <w:t>ID umowy</w:t>
          </w:r>
        </w:p>
      </w:tc>
      <w:tc>
        <w:tcPr>
          <w:tcW w:w="0" w:type="auto"/>
          <w:vAlign w:val="center"/>
        </w:tcPr>
        <w:p w14:paraId="59DD933A" w14:textId="77777777" w:rsidR="00970AC0" w:rsidRDefault="00970AC0">
          <w:r>
            <w:rPr>
              <w:sz w:val="16"/>
            </w:rPr>
            <w:t>ID pliku</w:t>
          </w:r>
        </w:p>
      </w:tc>
      <w:tc>
        <w:tcPr>
          <w:tcW w:w="0" w:type="auto"/>
          <w:vAlign w:val="center"/>
        </w:tcPr>
        <w:p w14:paraId="2465F55C" w14:textId="77777777" w:rsidR="00970AC0" w:rsidRDefault="00970AC0">
          <w:r>
            <w:rPr>
              <w:sz w:val="16"/>
            </w:rPr>
            <w:t>Stan</w:t>
          </w:r>
        </w:p>
      </w:tc>
      <w:tc>
        <w:tcPr>
          <w:tcW w:w="0" w:type="auto"/>
          <w:vAlign w:val="center"/>
        </w:tcPr>
        <w:p w14:paraId="7682835D" w14:textId="77777777" w:rsidR="00970AC0" w:rsidRDefault="00970AC0">
          <w:r>
            <w:rPr>
              <w:sz w:val="16"/>
            </w:rPr>
            <w:t>Data modyfikacji</w:t>
          </w:r>
        </w:p>
      </w:tc>
    </w:tr>
    <w:tr w:rsidR="0091740A" w14:paraId="505D0D91" w14:textId="77777777">
      <w:tc>
        <w:tcPr>
          <w:tcW w:w="0" w:type="auto"/>
          <w:vAlign w:val="center"/>
        </w:tcPr>
        <w:p w14:paraId="17EA668E" w14:textId="77777777" w:rsidR="00970AC0" w:rsidRDefault="00970AC0">
          <w:r>
            <w:rPr>
              <w:sz w:val="16"/>
            </w:rPr>
            <w:t>Finalna</w:t>
          </w:r>
        </w:p>
      </w:tc>
      <w:tc>
        <w:tcPr>
          <w:tcW w:w="0" w:type="auto"/>
          <w:vAlign w:val="center"/>
        </w:tcPr>
        <w:p w14:paraId="166D1FC5" w14:textId="77777777" w:rsidR="00970AC0" w:rsidRDefault="00970AC0">
          <w:r>
            <w:rPr>
              <w:sz w:val="16"/>
            </w:rPr>
            <w:t>307663002</w:t>
          </w:r>
        </w:p>
      </w:tc>
      <w:tc>
        <w:tcPr>
          <w:tcW w:w="0" w:type="auto"/>
          <w:vAlign w:val="center"/>
        </w:tcPr>
        <w:p w14:paraId="7368754C" w14:textId="77777777" w:rsidR="00970AC0" w:rsidRDefault="00970AC0">
          <w:r>
            <w:rPr>
              <w:sz w:val="16"/>
            </w:rPr>
            <w:t>309410049</w:t>
          </w:r>
        </w:p>
      </w:tc>
      <w:tc>
        <w:tcPr>
          <w:tcW w:w="0" w:type="auto"/>
          <w:vAlign w:val="center"/>
        </w:tcPr>
        <w:p w14:paraId="0968CF50" w14:textId="77777777" w:rsidR="00970AC0" w:rsidRDefault="00970AC0">
          <w:r>
            <w:rPr>
              <w:sz w:val="16"/>
            </w:rPr>
            <w:t>Zaakceptowana</w:t>
          </w:r>
        </w:p>
      </w:tc>
      <w:tc>
        <w:tcPr>
          <w:tcW w:w="0" w:type="auto"/>
          <w:vAlign w:val="center"/>
        </w:tcPr>
        <w:p w14:paraId="14E5D65B" w14:textId="77777777" w:rsidR="00970AC0" w:rsidRDefault="00970AC0">
          <w:r>
            <w:rPr>
              <w:sz w:val="16"/>
            </w:rPr>
            <w:t>2024-11-18 08:30:41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5599D" w14:textId="77777777" w:rsidR="00970AC0" w:rsidRDefault="00970AC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8FB59" w14:textId="77777777" w:rsidR="00D537FA" w:rsidRDefault="00D537FA" w:rsidP="00970AC0">
      <w:r>
        <w:separator/>
      </w:r>
    </w:p>
  </w:footnote>
  <w:footnote w:type="continuationSeparator" w:id="0">
    <w:p w14:paraId="475663DD" w14:textId="77777777" w:rsidR="00D537FA" w:rsidRDefault="00D537FA" w:rsidP="00970A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45811"/>
    <w:multiLevelType w:val="multilevel"/>
    <w:tmpl w:val="D024979A"/>
    <w:lvl w:ilvl="0">
      <w:start w:val="1"/>
      <w:numFmt w:val="decimal"/>
      <w:lvlText w:val="%1."/>
      <w:lvlJc w:val="left"/>
      <w:pPr>
        <w:ind w:left="720" w:hanging="360"/>
      </w:p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1B5125FC"/>
    <w:multiLevelType w:val="multilevel"/>
    <w:tmpl w:val="85323C80"/>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Arial" w:eastAsia="Arial" w:hAnsi="Arial" w:cs="Arial"/>
        <w:b/>
        <w:bCs w:val="0"/>
        <w:i w:val="0"/>
        <w:iCs w:val="0"/>
        <w:smallCaps w:val="0"/>
        <w:strike w:val="0"/>
        <w:color w:val="000000"/>
        <w:spacing w:val="0"/>
        <w:w w:val="100"/>
        <w:position w:val="0"/>
        <w:sz w:val="19"/>
        <w:szCs w:val="19"/>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18E126E"/>
    <w:multiLevelType w:val="hybridMultilevel"/>
    <w:tmpl w:val="8612D182"/>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num w:numId="1" w16cid:durableId="18550883">
    <w:abstractNumId w:val="1"/>
  </w:num>
  <w:num w:numId="2" w16cid:durableId="1041588305">
    <w:abstractNumId w:val="0"/>
  </w:num>
  <w:num w:numId="3" w16cid:durableId="1428041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C0"/>
    <w:rsid w:val="00297C4A"/>
    <w:rsid w:val="002A1964"/>
    <w:rsid w:val="002D6929"/>
    <w:rsid w:val="00465A0C"/>
    <w:rsid w:val="004E67DB"/>
    <w:rsid w:val="007D7597"/>
    <w:rsid w:val="00860871"/>
    <w:rsid w:val="00970AC0"/>
    <w:rsid w:val="009A4D02"/>
    <w:rsid w:val="00B56D31"/>
    <w:rsid w:val="00D35CE3"/>
    <w:rsid w:val="00D537FA"/>
    <w:rsid w:val="00D6687A"/>
    <w:rsid w:val="00E17AAB"/>
    <w:rsid w:val="00EE0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4A12"/>
  <w15:chartTrackingRefBased/>
  <w15:docId w15:val="{A02A3329-7E7E-4BA2-92B7-01001F45F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70AC0"/>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paragraph" w:styleId="Nagwek1">
    <w:name w:val="heading 1"/>
    <w:basedOn w:val="Normalny"/>
    <w:next w:val="Normalny"/>
    <w:link w:val="Nagwek1Znak"/>
    <w:uiPriority w:val="9"/>
    <w:qFormat/>
    <w:rsid w:val="00970AC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970AC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970AC0"/>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970AC0"/>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970AC0"/>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970AC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70AC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70AC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70AC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0AC0"/>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970AC0"/>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970AC0"/>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970AC0"/>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970AC0"/>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970AC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70AC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70AC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70AC0"/>
    <w:rPr>
      <w:rFonts w:eastAsiaTheme="majorEastAsia" w:cstheme="majorBidi"/>
      <w:color w:val="272727" w:themeColor="text1" w:themeTint="D8"/>
    </w:rPr>
  </w:style>
  <w:style w:type="paragraph" w:styleId="Tytu">
    <w:name w:val="Title"/>
    <w:basedOn w:val="Normalny"/>
    <w:next w:val="Normalny"/>
    <w:link w:val="TytuZnak"/>
    <w:uiPriority w:val="10"/>
    <w:qFormat/>
    <w:rsid w:val="00970AC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70AC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70AC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70AC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70AC0"/>
    <w:pPr>
      <w:spacing w:before="160"/>
      <w:jc w:val="center"/>
    </w:pPr>
    <w:rPr>
      <w:i/>
      <w:iCs/>
      <w:color w:val="404040" w:themeColor="text1" w:themeTint="BF"/>
    </w:rPr>
  </w:style>
  <w:style w:type="character" w:customStyle="1" w:styleId="CytatZnak">
    <w:name w:val="Cytat Znak"/>
    <w:basedOn w:val="Domylnaczcionkaakapitu"/>
    <w:link w:val="Cytat"/>
    <w:uiPriority w:val="29"/>
    <w:rsid w:val="00970AC0"/>
    <w:rPr>
      <w:i/>
      <w:iCs/>
      <w:color w:val="404040" w:themeColor="text1" w:themeTint="BF"/>
    </w:rPr>
  </w:style>
  <w:style w:type="paragraph" w:styleId="Akapitzlist">
    <w:name w:val="List Paragraph"/>
    <w:basedOn w:val="Normalny"/>
    <w:uiPriority w:val="34"/>
    <w:qFormat/>
    <w:rsid w:val="00970AC0"/>
    <w:pPr>
      <w:ind w:left="720"/>
      <w:contextualSpacing/>
    </w:pPr>
  </w:style>
  <w:style w:type="character" w:styleId="Wyrnienieintensywne">
    <w:name w:val="Intense Emphasis"/>
    <w:basedOn w:val="Domylnaczcionkaakapitu"/>
    <w:uiPriority w:val="21"/>
    <w:qFormat/>
    <w:rsid w:val="00970AC0"/>
    <w:rPr>
      <w:i/>
      <w:iCs/>
      <w:color w:val="2E74B5" w:themeColor="accent1" w:themeShade="BF"/>
    </w:rPr>
  </w:style>
  <w:style w:type="paragraph" w:styleId="Cytatintensywny">
    <w:name w:val="Intense Quote"/>
    <w:basedOn w:val="Normalny"/>
    <w:next w:val="Normalny"/>
    <w:link w:val="CytatintensywnyZnak"/>
    <w:uiPriority w:val="30"/>
    <w:qFormat/>
    <w:rsid w:val="00970AC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970AC0"/>
    <w:rPr>
      <w:i/>
      <w:iCs/>
      <w:color w:val="2E74B5" w:themeColor="accent1" w:themeShade="BF"/>
    </w:rPr>
  </w:style>
  <w:style w:type="character" w:styleId="Odwoanieintensywne">
    <w:name w:val="Intense Reference"/>
    <w:basedOn w:val="Domylnaczcionkaakapitu"/>
    <w:uiPriority w:val="32"/>
    <w:qFormat/>
    <w:rsid w:val="00970AC0"/>
    <w:rPr>
      <w:b/>
      <w:bCs/>
      <w:smallCaps/>
      <w:color w:val="2E74B5" w:themeColor="accent1" w:themeShade="BF"/>
      <w:spacing w:val="5"/>
    </w:rPr>
  </w:style>
  <w:style w:type="character" w:customStyle="1" w:styleId="Teksttreci">
    <w:name w:val="Tekst treści_"/>
    <w:basedOn w:val="Domylnaczcionkaakapitu"/>
    <w:link w:val="Teksttreci0"/>
    <w:rsid w:val="00970AC0"/>
    <w:rPr>
      <w:rFonts w:ascii="Arial" w:eastAsia="Arial" w:hAnsi="Arial" w:cs="Arial"/>
      <w:sz w:val="19"/>
      <w:szCs w:val="19"/>
    </w:rPr>
  </w:style>
  <w:style w:type="character" w:customStyle="1" w:styleId="Teksttreci2">
    <w:name w:val="Tekst treści (2)_"/>
    <w:basedOn w:val="Domylnaczcionkaakapitu"/>
    <w:link w:val="Teksttreci20"/>
    <w:rsid w:val="00970AC0"/>
    <w:rPr>
      <w:rFonts w:ascii="Tahoma" w:eastAsia="Tahoma" w:hAnsi="Tahoma" w:cs="Tahoma"/>
      <w:b/>
      <w:bCs/>
    </w:rPr>
  </w:style>
  <w:style w:type="paragraph" w:customStyle="1" w:styleId="Teksttreci0">
    <w:name w:val="Tekst treści"/>
    <w:basedOn w:val="Normalny"/>
    <w:link w:val="Teksttreci"/>
    <w:rsid w:val="00970AC0"/>
    <w:pPr>
      <w:spacing w:after="160" w:line="252" w:lineRule="auto"/>
    </w:pPr>
    <w:rPr>
      <w:rFonts w:ascii="Arial" w:eastAsia="Arial" w:hAnsi="Arial" w:cs="Arial"/>
      <w:color w:val="auto"/>
      <w:kern w:val="2"/>
      <w:sz w:val="19"/>
      <w:szCs w:val="19"/>
      <w:lang w:eastAsia="en-US" w:bidi="ar-SA"/>
      <w14:ligatures w14:val="standardContextual"/>
    </w:rPr>
  </w:style>
  <w:style w:type="paragraph" w:customStyle="1" w:styleId="Teksttreci20">
    <w:name w:val="Tekst treści (2)"/>
    <w:basedOn w:val="Normalny"/>
    <w:link w:val="Teksttreci2"/>
    <w:rsid w:val="00970AC0"/>
    <w:pPr>
      <w:spacing w:after="260"/>
    </w:pPr>
    <w:rPr>
      <w:rFonts w:ascii="Tahoma" w:eastAsia="Tahoma" w:hAnsi="Tahoma" w:cs="Tahoma"/>
      <w:b/>
      <w:bCs/>
      <w:color w:val="auto"/>
      <w:kern w:val="2"/>
      <w:sz w:val="22"/>
      <w:szCs w:val="22"/>
      <w:lang w:eastAsia="en-US" w:bidi="ar-SA"/>
      <w14:ligatures w14:val="standardContextual"/>
    </w:rPr>
  </w:style>
  <w:style w:type="paragraph" w:styleId="Nagwek">
    <w:name w:val="header"/>
    <w:basedOn w:val="Normalny"/>
    <w:link w:val="NagwekZnak"/>
    <w:uiPriority w:val="99"/>
    <w:unhideWhenUsed/>
    <w:rsid w:val="00970AC0"/>
    <w:pPr>
      <w:tabs>
        <w:tab w:val="center" w:pos="4536"/>
        <w:tab w:val="right" w:pos="9072"/>
      </w:tabs>
    </w:pPr>
  </w:style>
  <w:style w:type="character" w:customStyle="1" w:styleId="NagwekZnak">
    <w:name w:val="Nagłówek Znak"/>
    <w:basedOn w:val="Domylnaczcionkaakapitu"/>
    <w:link w:val="Nagwek"/>
    <w:uiPriority w:val="99"/>
    <w:rsid w:val="00970AC0"/>
    <w:rPr>
      <w:rFonts w:ascii="Courier New" w:eastAsia="Courier New" w:hAnsi="Courier New" w:cs="Courier New"/>
      <w:color w:val="000000"/>
      <w:kern w:val="0"/>
      <w:sz w:val="24"/>
      <w:szCs w:val="24"/>
      <w:lang w:eastAsia="pl-PL" w:bidi="pl-PL"/>
      <w14:ligatures w14:val="none"/>
    </w:rPr>
  </w:style>
  <w:style w:type="paragraph" w:styleId="Stopka">
    <w:name w:val="footer"/>
    <w:basedOn w:val="Normalny"/>
    <w:link w:val="StopkaZnak"/>
    <w:uiPriority w:val="99"/>
    <w:unhideWhenUsed/>
    <w:rsid w:val="00970AC0"/>
    <w:pPr>
      <w:tabs>
        <w:tab w:val="center" w:pos="4536"/>
        <w:tab w:val="right" w:pos="9072"/>
      </w:tabs>
    </w:pPr>
  </w:style>
  <w:style w:type="character" w:customStyle="1" w:styleId="StopkaZnak">
    <w:name w:val="Stopka Znak"/>
    <w:basedOn w:val="Domylnaczcionkaakapitu"/>
    <w:link w:val="Stopka"/>
    <w:uiPriority w:val="99"/>
    <w:rsid w:val="00970AC0"/>
    <w:rPr>
      <w:rFonts w:ascii="Courier New" w:eastAsia="Courier New" w:hAnsi="Courier New" w:cs="Courier New"/>
      <w:color w:val="000000"/>
      <w:kern w:val="0"/>
      <w:sz w:val="24"/>
      <w:szCs w:val="24"/>
      <w:lang w:eastAsia="pl-PL" w:bidi="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993</Words>
  <Characters>5961</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Wartalska Katarzyna (OPD)</dc:creator>
  <cp:keywords/>
  <dc:description/>
  <cp:lastModifiedBy>Ruszyńska Marta (ORL)</cp:lastModifiedBy>
  <cp:revision>2</cp:revision>
  <dcterms:created xsi:type="dcterms:W3CDTF">2025-10-06T06:11:00Z</dcterms:created>
  <dcterms:modified xsi:type="dcterms:W3CDTF">2025-10-06T06:11:00Z</dcterms:modified>
</cp:coreProperties>
</file>